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76CB" w14:textId="77777777"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14:paraId="62D13C76" w14:textId="77777777"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14:paraId="1009583B" w14:textId="77777777"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14:paraId="518A8F59" w14:textId="23728620" w:rsidR="00706412" w:rsidRPr="009427C4" w:rsidRDefault="002B7D7D" w:rsidP="00706412">
      <w:pPr>
        <w:jc w:val="right"/>
      </w:pPr>
      <w:r>
        <w:t>«</w:t>
      </w:r>
      <w:r w:rsidR="00AE2F54">
        <w:t>25</w:t>
      </w:r>
      <w:r w:rsidR="00706412" w:rsidRPr="009427C4">
        <w:t xml:space="preserve">» </w:t>
      </w:r>
      <w:r w:rsidR="00AE2F54">
        <w:t>октября</w:t>
      </w:r>
      <w:r w:rsidR="00385D94">
        <w:t xml:space="preserve"> 202</w:t>
      </w:r>
      <w:r w:rsidR="00281C93">
        <w:t>2</w:t>
      </w:r>
      <w:r w:rsidR="00706412" w:rsidRPr="009427C4">
        <w:t xml:space="preserve"> г.</w:t>
      </w:r>
    </w:p>
    <w:p w14:paraId="4BAA20D9" w14:textId="77777777" w:rsidR="00706412" w:rsidRPr="009427C4" w:rsidRDefault="00706412" w:rsidP="00706412">
      <w:pPr>
        <w:pStyle w:val="2"/>
      </w:pPr>
    </w:p>
    <w:p w14:paraId="58BB04AA" w14:textId="77777777" w:rsidR="00706412" w:rsidRPr="009427C4" w:rsidRDefault="00706412" w:rsidP="00706412">
      <w:pPr>
        <w:pStyle w:val="2"/>
      </w:pPr>
      <w:r w:rsidRPr="009427C4">
        <w:t>ПРОТОКОЛ №1</w:t>
      </w:r>
    </w:p>
    <w:p w14:paraId="19AED3D0" w14:textId="77777777"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14:paraId="6300952C" w14:textId="77777777" w:rsidR="00706412" w:rsidRPr="009427C4" w:rsidRDefault="00706412" w:rsidP="00706412">
      <w:pPr>
        <w:jc w:val="center"/>
        <w:rPr>
          <w:b/>
        </w:rPr>
      </w:pPr>
    </w:p>
    <w:p w14:paraId="2867A52F" w14:textId="762AC46B"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AE2F54">
        <w:t>25 октября</w:t>
      </w:r>
      <w:r w:rsidR="00FF1DCE">
        <w:t xml:space="preserve"> 202</w:t>
      </w:r>
      <w:r w:rsidR="00281C93">
        <w:t>2</w:t>
      </w:r>
      <w:r w:rsidRPr="009427C4">
        <w:t xml:space="preserve"> г.</w:t>
      </w:r>
      <w:r w:rsidR="00B26692">
        <w:t xml:space="preserve"> 1</w:t>
      </w:r>
      <w:r w:rsidR="00AE2F54">
        <w:t>1</w:t>
      </w:r>
      <w:r w:rsidR="00B26692">
        <w:t xml:space="preserve"> час. 00 мин.</w:t>
      </w:r>
    </w:p>
    <w:p w14:paraId="2B38BAA4" w14:textId="77777777" w:rsidR="00706412" w:rsidRPr="009427C4" w:rsidRDefault="00706412" w:rsidP="00706412">
      <w:pPr>
        <w:rPr>
          <w:b/>
        </w:rPr>
      </w:pPr>
    </w:p>
    <w:p w14:paraId="71566AD6" w14:textId="4E064E1E" w:rsidR="00AE2F54" w:rsidRPr="002F01E0" w:rsidRDefault="00AE2F54" w:rsidP="00AE2F54">
      <w:pPr>
        <w:pStyle w:val="a5"/>
        <w:ind w:firstLine="708"/>
      </w:pPr>
      <w:r w:rsidRPr="002F01E0">
        <w:t xml:space="preserve">Повестка дня: Рассмотрение комиссией заявок на участие в аукционе, </w:t>
      </w:r>
      <w:r>
        <w:t xml:space="preserve">проводимом в </w:t>
      </w:r>
      <w:r w:rsidRPr="001F5DA1">
        <w:t>электронной форме</w:t>
      </w:r>
      <w:r>
        <w:t xml:space="preserve"> на электронной площадке НЭП Фабрикант (</w:t>
      </w:r>
      <w:r w:rsidRPr="007A1BC9">
        <w:rPr>
          <w:b/>
          <w:spacing w:val="-6"/>
        </w:rPr>
        <w:t>(</w:t>
      </w:r>
      <w:hyperlink r:id="rId6" w:history="1">
        <w:r w:rsidRPr="007A1BC9">
          <w:rPr>
            <w:b/>
            <w:lang w:eastAsia="en-US"/>
          </w:rPr>
          <w:t>https://www.fabrikant.ru</w:t>
        </w:r>
      </w:hyperlink>
      <w:r w:rsidRPr="007A1BC9">
        <w:rPr>
          <w:b/>
          <w:lang w:eastAsia="en-US"/>
        </w:rPr>
        <w:t>)</w:t>
      </w:r>
      <w:r w:rsidRPr="001F5DA1">
        <w:t xml:space="preserve">, </w:t>
      </w:r>
      <w:r w:rsidRPr="002F01E0">
        <w:t xml:space="preserve">назначенном на </w:t>
      </w:r>
      <w:r>
        <w:t>26 октября 2022</w:t>
      </w:r>
      <w:r w:rsidRPr="002F01E0">
        <w:t xml:space="preserve"> г. </w:t>
      </w:r>
      <w:r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платы, по продаже права на заключение договора аренды земельного участка</w:t>
      </w:r>
      <w:r w:rsidRPr="002F01E0">
        <w:rPr>
          <w:rStyle w:val="3TimesNewRoman115pt"/>
          <w:rFonts w:eastAsia="Courier New"/>
          <w:sz w:val="24"/>
          <w:szCs w:val="24"/>
        </w:rPr>
        <w:t>, находящегося в государственной собственности до разграничения</w:t>
      </w:r>
      <w:r w:rsidRPr="002F01E0">
        <w:t>.</w:t>
      </w:r>
    </w:p>
    <w:p w14:paraId="572287A7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>Лот №1. Характеристика земельного участка:</w:t>
      </w:r>
    </w:p>
    <w:p w14:paraId="62BAF180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"/>
          <w:rFonts w:eastAsia="Courier New"/>
          <w:i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>
        <w:rPr>
          <w:rStyle w:val="3TimesNewRoman"/>
          <w:rFonts w:eastAsia="Courier New"/>
          <w:i w:val="0"/>
          <w:sz w:val="24"/>
          <w:szCs w:val="24"/>
        </w:rPr>
        <w:t xml:space="preserve">Российская Федерация, 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городской округ город Кулебаки,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>
        <w:rPr>
          <w:rStyle w:val="3TimesNewRoman"/>
          <w:rFonts w:eastAsia="Courier New"/>
          <w:b w:val="0"/>
          <w:i w:val="0"/>
          <w:sz w:val="24"/>
          <w:szCs w:val="24"/>
        </w:rPr>
        <w:t>Колхозная, земельный участок 2А/19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;</w:t>
      </w:r>
    </w:p>
    <w:p w14:paraId="38CFA18E" w14:textId="5F41F5BC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Категория земель: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земли населенных пунктов; </w:t>
      </w:r>
    </w:p>
    <w:p w14:paraId="10758733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Кадастровый номер: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52:38:002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000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3:4555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;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</w:p>
    <w:p w14:paraId="07D0755D" w14:textId="77777777" w:rsidR="00AE2F54" w:rsidRPr="001A6422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1A6422">
        <w:rPr>
          <w:rStyle w:val="3TimesNewRoman"/>
          <w:rFonts w:eastAsia="Courier New"/>
          <w:i w:val="0"/>
          <w:sz w:val="24"/>
          <w:szCs w:val="24"/>
        </w:rPr>
        <w:t>Площадь земельного участка:</w:t>
      </w:r>
      <w:r w:rsidRPr="001A6422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1A642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98 кв.м.;</w:t>
      </w:r>
    </w:p>
    <w:p w14:paraId="63332F59" w14:textId="77777777" w:rsidR="00AE2F54" w:rsidRPr="001A6422" w:rsidRDefault="00AE2F54" w:rsidP="00AE2F54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b/>
          <w:sz w:val="24"/>
          <w:szCs w:val="24"/>
        </w:rPr>
      </w:pPr>
      <w:r w:rsidRPr="001A6422">
        <w:rPr>
          <w:rStyle w:val="3TimesNewRoman"/>
          <w:rFonts w:eastAsia="Courier New"/>
          <w:i w:val="0"/>
          <w:sz w:val="24"/>
          <w:szCs w:val="24"/>
        </w:rPr>
        <w:t>Вид разрешенного использования земельного участка</w:t>
      </w:r>
      <w:r w:rsidRPr="001A6422">
        <w:rPr>
          <w:rStyle w:val="3TimesNewRoman"/>
          <w:rFonts w:eastAsia="Courier New"/>
          <w:i w:val="0"/>
          <w:iCs w:val="0"/>
          <w:sz w:val="24"/>
          <w:szCs w:val="24"/>
        </w:rPr>
        <w:t xml:space="preserve"> – </w:t>
      </w:r>
      <w:r w:rsidRPr="001A642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коммунальное обслуживание;</w:t>
      </w:r>
    </w:p>
    <w:p w14:paraId="3DAC5CDF" w14:textId="77777777" w:rsidR="00AE2F54" w:rsidRPr="00580646" w:rsidRDefault="00AE2F54" w:rsidP="00AE2F54">
      <w:pPr>
        <w:jc w:val="both"/>
      </w:pPr>
      <w:r w:rsidRPr="001A6422">
        <w:rPr>
          <w:rStyle w:val="af5"/>
        </w:rPr>
        <w:t xml:space="preserve">       Целевое назначение</w:t>
      </w:r>
      <w:r w:rsidRPr="001A6422">
        <w:t xml:space="preserve"> - для строительства объекта </w:t>
      </w:r>
      <w:r w:rsidRPr="00580646">
        <w:t xml:space="preserve">капитального строительства газовой котельной, площадью менее 1500 кв.м. </w:t>
      </w:r>
    </w:p>
    <w:p w14:paraId="1873B44D" w14:textId="77777777" w:rsidR="00AE2F54" w:rsidRPr="00971DA7" w:rsidRDefault="00AE2F54" w:rsidP="00AE2F54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401439">
        <w:rPr>
          <w:rStyle w:val="af5"/>
          <w:sz w:val="24"/>
          <w:szCs w:val="24"/>
        </w:rPr>
        <w:t xml:space="preserve">Вид приобретаемого </w:t>
      </w:r>
      <w:r w:rsidRPr="00971DA7">
        <w:rPr>
          <w:rStyle w:val="af5"/>
          <w:sz w:val="24"/>
          <w:szCs w:val="24"/>
        </w:rPr>
        <w:t>права:</w:t>
      </w:r>
      <w:r w:rsidRPr="00971DA7">
        <w:rPr>
          <w:sz w:val="24"/>
          <w:szCs w:val="24"/>
        </w:rPr>
        <w:t xml:space="preserve"> аренда сроком на 30 (тридцать) месяцев; </w:t>
      </w:r>
    </w:p>
    <w:p w14:paraId="29D8A6EB" w14:textId="77777777" w:rsidR="00AE2F54" w:rsidRPr="00971DA7" w:rsidRDefault="00AE2F54" w:rsidP="00AE2F54">
      <w:pPr>
        <w:pStyle w:val="23"/>
        <w:shd w:val="clear" w:color="auto" w:fill="auto"/>
        <w:spacing w:before="0" w:line="266" w:lineRule="exact"/>
        <w:ind w:left="100" w:right="120" w:firstLine="320"/>
        <w:rPr>
          <w:rStyle w:val="af5"/>
          <w:b w:val="0"/>
          <w:sz w:val="24"/>
          <w:szCs w:val="24"/>
        </w:rPr>
      </w:pPr>
      <w:r w:rsidRPr="00971DA7">
        <w:rPr>
          <w:rStyle w:val="af5"/>
          <w:sz w:val="24"/>
          <w:szCs w:val="24"/>
        </w:rPr>
        <w:t xml:space="preserve">Ограничения прав: </w:t>
      </w:r>
      <w:r w:rsidRPr="00971DA7">
        <w:rPr>
          <w:rStyle w:val="af5"/>
          <w:b w:val="0"/>
          <w:sz w:val="24"/>
          <w:szCs w:val="24"/>
        </w:rPr>
        <w:t>не зарегистрировано;</w:t>
      </w:r>
    </w:p>
    <w:p w14:paraId="77886101" w14:textId="77777777" w:rsidR="00AE2F54" w:rsidRPr="001A6422" w:rsidRDefault="00AE2F54" w:rsidP="00AE2F54">
      <w:pPr>
        <w:tabs>
          <w:tab w:val="left" w:pos="10490"/>
        </w:tabs>
        <w:jc w:val="both"/>
      </w:pPr>
      <w:r>
        <w:t xml:space="preserve">       </w:t>
      </w:r>
      <w:r w:rsidRPr="00401439">
        <w:rPr>
          <w:rStyle w:val="af5"/>
        </w:rPr>
        <w:t xml:space="preserve">Начальный размер годовой арендной платы </w:t>
      </w:r>
      <w:r w:rsidRPr="001A6422">
        <w:rPr>
          <w:rStyle w:val="af5"/>
        </w:rPr>
        <w:t>земельного участка</w:t>
      </w:r>
      <w:r w:rsidRPr="001A6422">
        <w:t xml:space="preserve"> - 10356 (Десять тысяч триста пятьдесят шесть) рублей, определена на основании отчета независимого оценщика от 15.08.2022 №3267/1249/26,</w:t>
      </w:r>
    </w:p>
    <w:p w14:paraId="45FE692F" w14:textId="77777777" w:rsidR="00AE2F54" w:rsidRPr="001A6422" w:rsidRDefault="00AE2F54" w:rsidP="00AE2F54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1A6422">
        <w:rPr>
          <w:rStyle w:val="af5"/>
          <w:sz w:val="24"/>
          <w:szCs w:val="24"/>
        </w:rPr>
        <w:t>Размер задатка 100</w:t>
      </w:r>
      <w:r w:rsidRPr="001A6422">
        <w:rPr>
          <w:rStyle w:val="af5"/>
          <w:b w:val="0"/>
          <w:sz w:val="24"/>
          <w:szCs w:val="24"/>
        </w:rPr>
        <w:t xml:space="preserve"> % от начальной цены аукциона - </w:t>
      </w:r>
      <w:r w:rsidRPr="001A6422">
        <w:rPr>
          <w:sz w:val="24"/>
          <w:szCs w:val="24"/>
        </w:rPr>
        <w:t>10356 (Десять тысяч триста пятьдесят шесть) рублей,</w:t>
      </w:r>
      <w:r w:rsidRPr="001A6422">
        <w:rPr>
          <w:rStyle w:val="af5"/>
          <w:sz w:val="24"/>
          <w:szCs w:val="24"/>
        </w:rPr>
        <w:t xml:space="preserve"> шаг аукциона </w:t>
      </w:r>
      <w:r w:rsidRPr="001A6422">
        <w:rPr>
          <w:rStyle w:val="af5"/>
          <w:b w:val="0"/>
          <w:sz w:val="24"/>
          <w:szCs w:val="24"/>
        </w:rPr>
        <w:t>1% - 104</w:t>
      </w:r>
      <w:r w:rsidRPr="001A6422">
        <w:rPr>
          <w:sz w:val="24"/>
          <w:szCs w:val="24"/>
        </w:rPr>
        <w:t xml:space="preserve"> (Сто четыре) рубля.</w:t>
      </w:r>
    </w:p>
    <w:p w14:paraId="06E88C44" w14:textId="2AAD8E89" w:rsidR="00AE2F54" w:rsidRDefault="00AE2F54" w:rsidP="00AE2F54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>
        <w:rPr>
          <w:rStyle w:val="3TimesNewRoman"/>
          <w:rFonts w:eastAsia="Courier New"/>
          <w:i w:val="0"/>
          <w:sz w:val="24"/>
          <w:szCs w:val="24"/>
        </w:rPr>
        <w:t xml:space="preserve">      </w:t>
      </w:r>
      <w:r w:rsidRPr="00A100B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b/>
          <w:color w:val="000000"/>
          <w:sz w:val="24"/>
        </w:rPr>
        <w:t>Основные в</w:t>
      </w:r>
      <w:r w:rsidRPr="008D00C5">
        <w:rPr>
          <w:rFonts w:ascii="Times New Roman" w:hAnsi="Times New Roman" w:cs="Times New Roman"/>
          <w:b/>
          <w:color w:val="000000"/>
          <w:sz w:val="24"/>
          <w:szCs w:val="24"/>
        </w:rPr>
        <w:t>иды разрешенного использования земельных участков и объектов капитального строительства</w:t>
      </w:r>
      <w:r w:rsidRPr="008D00C5">
        <w:rPr>
          <w:rStyle w:val="3TimesNewRoman"/>
          <w:rFonts w:eastAsia="Courier New"/>
          <w:i w:val="0"/>
          <w:iCs w:val="0"/>
          <w:sz w:val="24"/>
          <w:szCs w:val="24"/>
        </w:rPr>
        <w:t xml:space="preserve"> в территориальной зоне</w:t>
      </w:r>
      <w:r w:rsidRPr="008D00C5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:</w:t>
      </w:r>
    </w:p>
    <w:p w14:paraId="2259C86C" w14:textId="77777777" w:rsidR="00AE2F54" w:rsidRPr="008D00C5" w:rsidRDefault="00AE2F54" w:rsidP="00AE2F54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 w:cs="Times New Roman"/>
          <w:color w:val="000000"/>
          <w:sz w:val="24"/>
        </w:rPr>
      </w:pPr>
      <w:r w:rsidRPr="008D00C5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 </w:t>
      </w:r>
      <w:r w:rsidRPr="008D00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П-3. Предприятия 4 класса вредности: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Животноводство (код 1.7.), Скотоводство (код 1.8.), Звероводство (код 1.9.), Птицеводство (код 1.10), Свиноводство (код 1.11.), Пчеловодство (код 1.12.), Рыбоводство (код.13), Научное обеспечение сельского хозяйства (код 1.14), Хранение и переработка сельскохозяйственной продукции (код 1.15), Обеспечение сельскохозяйственного производства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1.18),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Коммунальное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3.1.),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Обеспечение научной деятельности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3.9),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Ветеринарное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Амбулаторное ветеринарное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Приюты для животных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3.10.2),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Деловое управление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4.4),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Общественное питание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4.6),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Обслуживание автотранспорта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4.9),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Объекты придорожного сервиса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4.9.1),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Недропользование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6.1.),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Тяжелая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6.2),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Автомобилестроительная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(6.2.1),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Легкая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6.3),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6.4),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Нефтехимическая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6.5),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Строительная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6.6),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Энергетика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6.7),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Связь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6.8),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Склады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6.9.),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Целлюлозно-бумажная промышленность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</w:rPr>
        <w:t>(код 6.11),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Обеспечение внутреннего правопорядка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8.3),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color w:val="000000"/>
          <w:sz w:val="24"/>
        </w:rPr>
        <w:t xml:space="preserve"> (код 12.0).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96AA828" w14:textId="77777777" w:rsidR="00AE2F54" w:rsidRDefault="00AE2F54" w:rsidP="00AE2F54">
      <w:pPr>
        <w:jc w:val="both"/>
        <w:rPr>
          <w:b/>
          <w:color w:val="000000"/>
        </w:rPr>
      </w:pPr>
      <w:r>
        <w:rPr>
          <w:b/>
        </w:rPr>
        <w:t xml:space="preserve">          </w:t>
      </w:r>
      <w:r w:rsidRPr="00A100BD">
        <w:rPr>
          <w:b/>
        </w:rPr>
        <w:t>Условно разрешенные виды разрешенного использования</w:t>
      </w:r>
      <w:r>
        <w:t xml:space="preserve">: </w:t>
      </w:r>
      <w:r w:rsidRPr="001A6422">
        <w:rPr>
          <w:color w:val="000000"/>
        </w:rPr>
        <w:t>Бытовое обслуживание</w:t>
      </w:r>
      <w:r>
        <w:rPr>
          <w:color w:val="000000"/>
        </w:rPr>
        <w:t xml:space="preserve"> (код 3.3),</w:t>
      </w:r>
      <w:r w:rsidRPr="008D00C5">
        <w:rPr>
          <w:color w:val="000000"/>
        </w:rPr>
        <w:t xml:space="preserve"> </w:t>
      </w:r>
      <w:r w:rsidRPr="001A6422">
        <w:rPr>
          <w:color w:val="000000"/>
        </w:rPr>
        <w:t>Рынки</w:t>
      </w:r>
      <w:r>
        <w:rPr>
          <w:color w:val="000000"/>
        </w:rPr>
        <w:t xml:space="preserve"> (код 3.3), </w:t>
      </w:r>
      <w:r w:rsidRPr="008D00C5">
        <w:t>Религиозное использование (код 3.7),</w:t>
      </w:r>
      <w:r>
        <w:rPr>
          <w:color w:val="FF0000"/>
        </w:rPr>
        <w:t xml:space="preserve"> </w:t>
      </w:r>
      <w:r w:rsidRPr="001A6422">
        <w:rPr>
          <w:color w:val="000000"/>
        </w:rPr>
        <w:t>Гостиничное обслуживание</w:t>
      </w:r>
      <w:r>
        <w:rPr>
          <w:color w:val="000000"/>
        </w:rPr>
        <w:t xml:space="preserve"> (код 4.7), </w:t>
      </w:r>
      <w:r w:rsidRPr="001A6422">
        <w:rPr>
          <w:color w:val="000000"/>
        </w:rPr>
        <w:t>Железнодорожный транспорт</w:t>
      </w:r>
      <w:r>
        <w:rPr>
          <w:color w:val="000000"/>
        </w:rPr>
        <w:t xml:space="preserve"> (код 7.1.), </w:t>
      </w:r>
      <w:r w:rsidRPr="001A6422">
        <w:rPr>
          <w:color w:val="000000"/>
        </w:rPr>
        <w:t>Автомобильный транспорт</w:t>
      </w:r>
      <w:r>
        <w:rPr>
          <w:color w:val="000000"/>
        </w:rPr>
        <w:t xml:space="preserve"> (код 7.2.), </w:t>
      </w:r>
      <w:r w:rsidRPr="001A6422">
        <w:rPr>
          <w:color w:val="000000"/>
        </w:rPr>
        <w:t>Трубопроводный транспорт</w:t>
      </w:r>
      <w:r>
        <w:rPr>
          <w:color w:val="000000"/>
        </w:rPr>
        <w:t xml:space="preserve"> (код 7.5.).</w:t>
      </w:r>
    </w:p>
    <w:p w14:paraId="3BC1E6F7" w14:textId="77777777" w:rsidR="00AE2F54" w:rsidRPr="008D00C5" w:rsidRDefault="00AE2F54" w:rsidP="00AE2F54">
      <w:pPr>
        <w:pStyle w:val="Iauiue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0C5">
        <w:rPr>
          <w:rFonts w:ascii="Times New Roman" w:hAnsi="Times New Roman"/>
          <w:b/>
          <w:color w:val="000000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398"/>
        <w:gridCol w:w="4292"/>
      </w:tblGrid>
      <w:tr w:rsidR="00AE2F54" w:rsidRPr="001A6422" w14:paraId="558CBDBA" w14:textId="77777777" w:rsidTr="00623125">
        <w:trPr>
          <w:tblHeader/>
          <w:jc w:val="center"/>
        </w:trPr>
        <w:tc>
          <w:tcPr>
            <w:tcW w:w="454" w:type="dxa"/>
            <w:vAlign w:val="center"/>
          </w:tcPr>
          <w:p w14:paraId="18C662CE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№ п/п</w:t>
            </w:r>
          </w:p>
        </w:tc>
        <w:tc>
          <w:tcPr>
            <w:tcW w:w="5398" w:type="dxa"/>
            <w:vAlign w:val="center"/>
          </w:tcPr>
          <w:p w14:paraId="0DC940D8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Наименование размера, параметра</w:t>
            </w:r>
          </w:p>
        </w:tc>
        <w:tc>
          <w:tcPr>
            <w:tcW w:w="4292" w:type="dxa"/>
            <w:vAlign w:val="center"/>
          </w:tcPr>
          <w:p w14:paraId="7CC9674C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Значение, единица измерения, дополнительные условия</w:t>
            </w:r>
          </w:p>
        </w:tc>
      </w:tr>
      <w:tr w:rsidR="00AE2F54" w:rsidRPr="001A6422" w14:paraId="65856C44" w14:textId="77777777" w:rsidTr="00623125">
        <w:trPr>
          <w:trHeight w:val="589"/>
          <w:jc w:val="center"/>
        </w:trPr>
        <w:tc>
          <w:tcPr>
            <w:tcW w:w="454" w:type="dxa"/>
          </w:tcPr>
          <w:p w14:paraId="135770CC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lastRenderedPageBreak/>
              <w:t>1</w:t>
            </w:r>
          </w:p>
        </w:tc>
        <w:tc>
          <w:tcPr>
            <w:tcW w:w="5398" w:type="dxa"/>
          </w:tcPr>
          <w:p w14:paraId="1C8F0EFD" w14:textId="77777777" w:rsidR="00AE2F54" w:rsidRPr="008D00C5" w:rsidRDefault="00AE2F54" w:rsidP="00623125">
            <w:pPr>
              <w:pStyle w:val="a5"/>
              <w:ind w:left="23"/>
              <w:rPr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4292" w:type="dxa"/>
          </w:tcPr>
          <w:p w14:paraId="373EC153" w14:textId="77777777" w:rsidR="00AE2F54" w:rsidRPr="008D00C5" w:rsidRDefault="00AE2F54" w:rsidP="00623125">
            <w:pPr>
              <w:pStyle w:val="a5"/>
              <w:tabs>
                <w:tab w:val="left" w:pos="236"/>
              </w:tabs>
              <w:rPr>
                <w:bCs/>
                <w:color w:val="000000"/>
                <w:lang w:eastAsia="ru-RU"/>
              </w:rPr>
            </w:pPr>
            <w:r w:rsidRPr="008D00C5">
              <w:rPr>
                <w:bCs/>
                <w:color w:val="000000"/>
                <w:lang w:eastAsia="ru-RU"/>
              </w:rPr>
              <w:t>Не подлежит установлению.</w:t>
            </w:r>
          </w:p>
          <w:p w14:paraId="7D8B5694" w14:textId="77777777" w:rsidR="00AE2F54" w:rsidRPr="008D00C5" w:rsidRDefault="00AE2F54" w:rsidP="00623125">
            <w:pPr>
              <w:pStyle w:val="a5"/>
              <w:tabs>
                <w:tab w:val="left" w:pos="236"/>
              </w:tabs>
              <w:ind w:left="720"/>
              <w:rPr>
                <w:color w:val="000000"/>
                <w:lang w:eastAsia="ru-RU"/>
              </w:rPr>
            </w:pPr>
          </w:p>
        </w:tc>
      </w:tr>
      <w:tr w:rsidR="00AE2F54" w:rsidRPr="001A6422" w14:paraId="0981E9D9" w14:textId="77777777" w:rsidTr="004F3513">
        <w:trPr>
          <w:trHeight w:val="679"/>
          <w:jc w:val="center"/>
        </w:trPr>
        <w:tc>
          <w:tcPr>
            <w:tcW w:w="454" w:type="dxa"/>
          </w:tcPr>
          <w:p w14:paraId="4A975A53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2</w:t>
            </w:r>
          </w:p>
        </w:tc>
        <w:tc>
          <w:tcPr>
            <w:tcW w:w="5398" w:type="dxa"/>
          </w:tcPr>
          <w:p w14:paraId="2B70F207" w14:textId="77777777" w:rsidR="00AE2F54" w:rsidRPr="004F3513" w:rsidRDefault="00AE2F54" w:rsidP="00623125">
            <w:pPr>
              <w:pStyle w:val="a5"/>
              <w:ind w:left="23"/>
              <w:rPr>
                <w:sz w:val="23"/>
                <w:szCs w:val="23"/>
                <w:lang w:eastAsia="ru-RU"/>
              </w:rPr>
            </w:pPr>
            <w:r w:rsidRPr="004F3513">
              <w:rPr>
                <w:rStyle w:val="3TimesNewRoman"/>
                <w:b w:val="0"/>
                <w:i w:val="0"/>
                <w:lang w:eastAsia="ru-RU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4292" w:type="dxa"/>
          </w:tcPr>
          <w:p w14:paraId="2701C226" w14:textId="77777777" w:rsidR="00AE2F54" w:rsidRPr="008D00C5" w:rsidRDefault="00AE2F54" w:rsidP="00623125">
            <w:pPr>
              <w:pStyle w:val="a5"/>
              <w:tabs>
                <w:tab w:val="left" w:pos="212"/>
              </w:tabs>
              <w:ind w:left="23"/>
              <w:rPr>
                <w:lang w:eastAsia="ru-RU"/>
              </w:rPr>
            </w:pPr>
            <w:r w:rsidRPr="008D00C5">
              <w:rPr>
                <w:shd w:val="clear" w:color="auto" w:fill="FFFFFF"/>
                <w:lang w:eastAsia="ru-RU"/>
              </w:rPr>
              <w:t>Не подлежит установлению</w:t>
            </w:r>
          </w:p>
        </w:tc>
      </w:tr>
      <w:tr w:rsidR="00AE2F54" w:rsidRPr="001A6422" w14:paraId="17C82F83" w14:textId="77777777" w:rsidTr="00623125">
        <w:trPr>
          <w:jc w:val="center"/>
        </w:trPr>
        <w:tc>
          <w:tcPr>
            <w:tcW w:w="454" w:type="dxa"/>
          </w:tcPr>
          <w:p w14:paraId="57F4EC98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3</w:t>
            </w:r>
          </w:p>
        </w:tc>
        <w:tc>
          <w:tcPr>
            <w:tcW w:w="5398" w:type="dxa"/>
          </w:tcPr>
          <w:p w14:paraId="6A2556FD" w14:textId="77777777" w:rsidR="00AE2F54" w:rsidRPr="004F3513" w:rsidRDefault="00AE2F54" w:rsidP="00623125">
            <w:pPr>
              <w:pStyle w:val="a5"/>
              <w:ind w:left="23"/>
              <w:rPr>
                <w:color w:val="000000"/>
                <w:sz w:val="23"/>
                <w:szCs w:val="23"/>
                <w:lang w:eastAsia="ru-RU"/>
              </w:rPr>
            </w:pPr>
            <w:r w:rsidRPr="004F3513">
              <w:rPr>
                <w:rStyle w:val="811"/>
                <w:color w:val="000000"/>
                <w:sz w:val="23"/>
                <w:szCs w:val="23"/>
              </w:rPr>
              <w:t>Предельное количество этажей</w:t>
            </w:r>
          </w:p>
        </w:tc>
        <w:tc>
          <w:tcPr>
            <w:tcW w:w="4292" w:type="dxa"/>
          </w:tcPr>
          <w:p w14:paraId="35870499" w14:textId="77777777" w:rsidR="00AE2F54" w:rsidRPr="008D00C5" w:rsidRDefault="00AE2F54" w:rsidP="00623125">
            <w:pPr>
              <w:pStyle w:val="a5"/>
              <w:tabs>
                <w:tab w:val="left" w:pos="182"/>
              </w:tabs>
              <w:ind w:left="23"/>
              <w:rPr>
                <w:color w:val="000000"/>
                <w:lang w:eastAsia="ru-RU"/>
              </w:rPr>
            </w:pPr>
            <w:r w:rsidRPr="008D00C5">
              <w:rPr>
                <w:color w:val="000000"/>
                <w:lang w:eastAsia="ru-RU"/>
              </w:rPr>
              <w:t>3 этажа</w:t>
            </w:r>
          </w:p>
        </w:tc>
      </w:tr>
      <w:tr w:rsidR="00AE2F54" w:rsidRPr="001A6422" w14:paraId="21CF8DA6" w14:textId="77777777" w:rsidTr="00623125">
        <w:trPr>
          <w:jc w:val="center"/>
        </w:trPr>
        <w:tc>
          <w:tcPr>
            <w:tcW w:w="454" w:type="dxa"/>
          </w:tcPr>
          <w:p w14:paraId="75D36477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4</w:t>
            </w:r>
          </w:p>
        </w:tc>
        <w:tc>
          <w:tcPr>
            <w:tcW w:w="5398" w:type="dxa"/>
          </w:tcPr>
          <w:p w14:paraId="49C22C0E" w14:textId="77777777" w:rsidR="00AE2F54" w:rsidRPr="008D00C5" w:rsidRDefault="00AE2F54" w:rsidP="00623125">
            <w:pPr>
              <w:pStyle w:val="a5"/>
              <w:ind w:left="23"/>
              <w:rPr>
                <w:b/>
                <w:i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292" w:type="dxa"/>
          </w:tcPr>
          <w:p w14:paraId="3920F49F" w14:textId="77777777" w:rsidR="00AE2F54" w:rsidRPr="008D00C5" w:rsidRDefault="00AE2F54" w:rsidP="00623125">
            <w:pPr>
              <w:pStyle w:val="a5"/>
              <w:tabs>
                <w:tab w:val="left" w:pos="187"/>
              </w:tabs>
              <w:ind w:left="23"/>
              <w:rPr>
                <w:rStyle w:val="3TimesNewRoman"/>
                <w:b w:val="0"/>
                <w:i w:val="0"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1)</w:t>
            </w:r>
            <w:r>
              <w:rPr>
                <w:rStyle w:val="3TimesNewRoman"/>
                <w:b w:val="0"/>
                <w:i w:val="0"/>
                <w:color w:val="000000"/>
                <w:lang w:eastAsia="ru-RU"/>
              </w:rPr>
              <w:t xml:space="preserve"> </w:t>
            </w: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Для производственных объектов 80%;</w:t>
            </w:r>
          </w:p>
          <w:p w14:paraId="405541F1" w14:textId="77777777" w:rsidR="00AE2F54" w:rsidRPr="008D00C5" w:rsidRDefault="00AE2F54" w:rsidP="00623125">
            <w:pPr>
              <w:pStyle w:val="a5"/>
              <w:tabs>
                <w:tab w:val="left" w:pos="187"/>
              </w:tabs>
              <w:ind w:left="23"/>
              <w:rPr>
                <w:b/>
                <w:i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2)</w:t>
            </w:r>
            <w:r>
              <w:rPr>
                <w:rStyle w:val="3TimesNewRoman"/>
                <w:b w:val="0"/>
                <w:i w:val="0"/>
                <w:color w:val="000000"/>
                <w:lang w:eastAsia="ru-RU"/>
              </w:rPr>
              <w:t xml:space="preserve"> </w:t>
            </w: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Для объектов иного назначения 60%.</w:t>
            </w:r>
          </w:p>
        </w:tc>
      </w:tr>
    </w:tbl>
    <w:p w14:paraId="3279DDA4" w14:textId="2A24B399" w:rsidR="00AE2F54" w:rsidRPr="009F2DF1" w:rsidRDefault="00AE2F54" w:rsidP="00AE2F54">
      <w:pPr>
        <w:pStyle w:val="23"/>
        <w:shd w:val="clear" w:color="auto" w:fill="auto"/>
        <w:spacing w:before="0" w:line="270" w:lineRule="exact"/>
        <w:ind w:left="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2DF1">
        <w:rPr>
          <w:sz w:val="24"/>
          <w:szCs w:val="24"/>
        </w:rPr>
        <w:t xml:space="preserve">Правила землепользования и застройки территории города Кулебаки Нижегородской области, утвержденные постановлением администрации </w:t>
      </w:r>
      <w:proofErr w:type="spellStart"/>
      <w:r w:rsidRPr="009F2DF1">
        <w:rPr>
          <w:sz w:val="24"/>
          <w:szCs w:val="24"/>
        </w:rPr>
        <w:t>гог</w:t>
      </w:r>
      <w:proofErr w:type="spellEnd"/>
      <w:r w:rsidRPr="009F2DF1">
        <w:rPr>
          <w:sz w:val="24"/>
          <w:szCs w:val="24"/>
        </w:rPr>
        <w:t xml:space="preserve"> Кулебаки Нижегородс</w:t>
      </w:r>
      <w:r w:rsidR="00731031">
        <w:rPr>
          <w:sz w:val="24"/>
          <w:szCs w:val="24"/>
        </w:rPr>
        <w:t>кой области от 27.10.2021 №2280.</w:t>
      </w:r>
    </w:p>
    <w:p w14:paraId="00C10F4F" w14:textId="67238AA0" w:rsidR="00AE2F54" w:rsidRPr="00731031" w:rsidRDefault="00AE2F54" w:rsidP="00731031">
      <w:pPr>
        <w:pStyle w:val="34"/>
        <w:shd w:val="clear" w:color="auto" w:fill="auto"/>
        <w:spacing w:before="0" w:after="0" w:line="270" w:lineRule="exact"/>
        <w:ind w:left="420"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31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974F922" w14:textId="77777777" w:rsidR="00AE2F54" w:rsidRDefault="00AE2F54" w:rsidP="00AE2F54">
      <w:pPr>
        <w:pStyle w:val="a5"/>
        <w:ind w:left="-142" w:right="-144" w:firstLine="426"/>
      </w:pPr>
      <w:r w:rsidRPr="00562DE7">
        <w:t>Технические условия на подключение к</w:t>
      </w:r>
      <w:r>
        <w:t xml:space="preserve"> централизованной системе</w:t>
      </w:r>
      <w:r w:rsidRPr="00562DE7">
        <w:t xml:space="preserve"> водоснабжения: имеется техническая возможность подключения к централизов</w:t>
      </w:r>
      <w:bookmarkStart w:id="0" w:name="_GoBack"/>
      <w:bookmarkEnd w:id="0"/>
      <w:r w:rsidRPr="00562DE7">
        <w:t>ан</w:t>
      </w:r>
      <w:r>
        <w:t>ной системе</w:t>
      </w:r>
      <w:r w:rsidRPr="00562DE7">
        <w:t xml:space="preserve"> водоснабжения</w:t>
      </w:r>
      <w:r>
        <w:t>.</w:t>
      </w:r>
    </w:p>
    <w:p w14:paraId="67864001" w14:textId="77777777" w:rsidR="00AE2F54" w:rsidRDefault="00AE2F54" w:rsidP="00AE2F54">
      <w:pPr>
        <w:pStyle w:val="a5"/>
        <w:ind w:left="-142" w:right="-144" w:firstLine="426"/>
      </w:pPr>
      <w:r>
        <w:t>Возможная точка присоединения – водопроводная сеть в районе дома №2А по ул. Колхозная;</w:t>
      </w:r>
    </w:p>
    <w:p w14:paraId="2452439D" w14:textId="77777777" w:rsidR="00AE2F54" w:rsidRDefault="00AE2F54" w:rsidP="00AE2F54">
      <w:pPr>
        <w:pStyle w:val="a5"/>
        <w:ind w:left="-142" w:right="-144" w:firstLine="426"/>
      </w:pPr>
      <w:r>
        <w:t>Максимальная мощность в точке присоединения – 398,92 куб м в сутки;</w:t>
      </w:r>
    </w:p>
    <w:p w14:paraId="02F8A6B8" w14:textId="77777777" w:rsidR="00AE2F54" w:rsidRDefault="00AE2F54" w:rsidP="00AE2F54">
      <w:pPr>
        <w:pStyle w:val="a5"/>
        <w:ind w:left="-142" w:right="-144" w:firstLine="426"/>
      </w:pPr>
      <w:r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14:paraId="18209BAA" w14:textId="77777777" w:rsidR="00AE2F54" w:rsidRPr="00562DE7" w:rsidRDefault="00AE2F54" w:rsidP="00AE2F54">
      <w:pPr>
        <w:pStyle w:val="a5"/>
        <w:ind w:left="-142" w:right="-144" w:firstLine="426"/>
      </w:pPr>
      <w:r>
        <w:t>Плата</w:t>
      </w:r>
      <w:r w:rsidRPr="00562DE7">
        <w:t xml:space="preserve">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</w:r>
      <w:proofErr w:type="spellStart"/>
      <w:r w:rsidRPr="00562DE7">
        <w:t>Райводоканал</w:t>
      </w:r>
      <w:proofErr w:type="spellEnd"/>
      <w:r w:rsidRPr="00562DE7">
        <w:t xml:space="preserve">» от </w:t>
      </w:r>
      <w:r>
        <w:t>11.08.</w:t>
      </w:r>
      <w:r w:rsidRPr="00562DE7">
        <w:t>2022 № 01-01-</w:t>
      </w:r>
      <w:r>
        <w:t>568</w:t>
      </w:r>
      <w:r w:rsidRPr="00562DE7">
        <w:t xml:space="preserve">). </w:t>
      </w:r>
    </w:p>
    <w:p w14:paraId="360092CA" w14:textId="77777777" w:rsidR="00AE2F54" w:rsidRDefault="00AE2F54" w:rsidP="00AE2F54">
      <w:pPr>
        <w:pStyle w:val="a5"/>
        <w:ind w:left="-142" w:right="-144" w:firstLine="426"/>
      </w:pPr>
      <w:r w:rsidRPr="00562DE7">
        <w:t xml:space="preserve">Технические условия на подключение к </w:t>
      </w:r>
      <w:r>
        <w:t>централизованной системе</w:t>
      </w:r>
      <w:r w:rsidRPr="00562DE7">
        <w:t xml:space="preserve"> водоотведения: имеется техническая возможность подключения к </w:t>
      </w:r>
      <w:r>
        <w:t xml:space="preserve">централизованным сетям </w:t>
      </w:r>
      <w:r w:rsidRPr="00562DE7">
        <w:t>водоотведения</w:t>
      </w:r>
      <w:r>
        <w:t>.</w:t>
      </w:r>
    </w:p>
    <w:p w14:paraId="4F0C2B8B" w14:textId="77777777" w:rsidR="00AE2F54" w:rsidRDefault="00AE2F54" w:rsidP="00AE2F54">
      <w:pPr>
        <w:pStyle w:val="a5"/>
        <w:ind w:left="-142" w:right="-144" w:firstLine="426"/>
      </w:pPr>
      <w:r>
        <w:t>Возможная точка присоединения – канализационная сеть в районе дома №2А по ул. Колхозная;</w:t>
      </w:r>
    </w:p>
    <w:p w14:paraId="20EF5D5F" w14:textId="77777777" w:rsidR="00AE2F54" w:rsidRDefault="00AE2F54" w:rsidP="00AE2F54">
      <w:pPr>
        <w:pStyle w:val="a5"/>
        <w:ind w:left="-142" w:right="-144" w:firstLine="426"/>
      </w:pPr>
      <w:r>
        <w:t>Максимальная мощность в точке присоединения - 915,84 куб. м. в сутки;</w:t>
      </w:r>
    </w:p>
    <w:p w14:paraId="19DDD23E" w14:textId="77777777" w:rsidR="00AE2F54" w:rsidRDefault="00AE2F54" w:rsidP="00AE2F54">
      <w:pPr>
        <w:pStyle w:val="a5"/>
        <w:ind w:left="-142" w:right="-144" w:firstLine="426"/>
      </w:pPr>
      <w:r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14:paraId="6DD747FF" w14:textId="77777777" w:rsidR="00AE2F54" w:rsidRDefault="00AE2F54" w:rsidP="00AE2F54">
      <w:pPr>
        <w:pStyle w:val="a5"/>
        <w:ind w:left="-142" w:right="-144" w:firstLine="426"/>
      </w:pPr>
      <w:r>
        <w:t>Плата за подключение не взимается</w:t>
      </w:r>
      <w:r w:rsidRPr="00562DE7">
        <w:t xml:space="preserve"> (письмо МП городского округа город Кулебаки «</w:t>
      </w:r>
      <w:proofErr w:type="spellStart"/>
      <w:r w:rsidRPr="00562DE7">
        <w:t>КанСток</w:t>
      </w:r>
      <w:proofErr w:type="spellEnd"/>
      <w:r w:rsidRPr="00562DE7">
        <w:t xml:space="preserve">» от </w:t>
      </w:r>
      <w:r>
        <w:t>11.08</w:t>
      </w:r>
      <w:r w:rsidRPr="00562DE7">
        <w:t>.2022 № 01-01-</w:t>
      </w:r>
      <w:r>
        <w:t>430</w:t>
      </w:r>
      <w:r w:rsidRPr="00562DE7">
        <w:t>)</w:t>
      </w:r>
      <w:r>
        <w:t xml:space="preserve">, </w:t>
      </w:r>
    </w:p>
    <w:p w14:paraId="76F1F9AB" w14:textId="77777777" w:rsidR="00AE2F54" w:rsidRDefault="00AE2F54" w:rsidP="00AE2F54">
      <w:pPr>
        <w:pStyle w:val="a5"/>
        <w:ind w:left="-142" w:right="-144" w:firstLine="426"/>
      </w:pPr>
      <w:r w:rsidRPr="00562DE7">
        <w:t>Технические условия на подключение к</w:t>
      </w:r>
      <w:r>
        <w:t xml:space="preserve"> централизованной системе газоснабжения</w:t>
      </w:r>
      <w:r w:rsidRPr="00562DE7">
        <w:t>:</w:t>
      </w:r>
      <w:r>
        <w:t xml:space="preserve"> имеется техническая возможность подключения объекта капитального строительства по вышеуказанному адресу с планируемым расходом газа 40 куб. м в час;</w:t>
      </w:r>
    </w:p>
    <w:p w14:paraId="3C041506" w14:textId="77777777" w:rsidR="00AE2F54" w:rsidRDefault="00AE2F54" w:rsidP="00AE2F54">
      <w:pPr>
        <w:pStyle w:val="a5"/>
        <w:ind w:left="-142" w:right="-144" w:firstLine="426"/>
      </w:pPr>
      <w:r>
        <w:t xml:space="preserve">Точкой подключения может быть избран газопровод высокого давления </w:t>
      </w:r>
      <w:r>
        <w:rPr>
          <w:lang w:val="en-US"/>
        </w:rPr>
        <w:t>II</w:t>
      </w:r>
      <w:r>
        <w:t xml:space="preserve"> категории, диаметром 110 мм, проложенный по ул. Колхозная (владелец ПАО «Газпром газораспределение Нижний Новгород»);</w:t>
      </w:r>
    </w:p>
    <w:p w14:paraId="03A7636C" w14:textId="77777777" w:rsidR="00AE2F54" w:rsidRDefault="00AE2F54" w:rsidP="00AE2F54">
      <w:pPr>
        <w:pStyle w:val="a5"/>
        <w:ind w:left="-142" w:right="-144" w:firstLine="426"/>
      </w:pPr>
      <w:r>
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 (письмо ПАО «Газпром газораспределение Нижний Новгород» филиал в г. Павлово от 22.08.2022 №0716-24-167);</w:t>
      </w:r>
    </w:p>
    <w:p w14:paraId="479DCA5A" w14:textId="48E70F30" w:rsidR="00AE2F54" w:rsidRDefault="00AE2F54" w:rsidP="00AE2F54">
      <w:pPr>
        <w:pStyle w:val="a5"/>
        <w:ind w:left="-142" w:right="-144" w:firstLine="426"/>
      </w:pPr>
      <w:r w:rsidRPr="00562DE7">
        <w:t xml:space="preserve">Технические условия на подключение к </w:t>
      </w:r>
      <w:r>
        <w:t>централизованной системе</w:t>
      </w:r>
      <w:r w:rsidRPr="00562DE7">
        <w:t xml:space="preserve"> </w:t>
      </w:r>
      <w:r>
        <w:t>горячего водоснабжения</w:t>
      </w:r>
      <w:r w:rsidRPr="00562DE7">
        <w:t xml:space="preserve">: </w:t>
      </w:r>
      <w:r>
        <w:t xml:space="preserve">не </w:t>
      </w:r>
      <w:r w:rsidRPr="00562DE7">
        <w:t>имеется технической</w:t>
      </w:r>
      <w:r>
        <w:t xml:space="preserve"> возможности</w:t>
      </w:r>
      <w:r w:rsidRPr="00562DE7">
        <w:t xml:space="preserve"> подключения к </w:t>
      </w:r>
      <w:r>
        <w:t xml:space="preserve">централизованным сетям горячего водоснабжения в связи с отсутствием в данном районе котельных и сетей теплоснабжения (письмо ООО «Бор </w:t>
      </w:r>
      <w:proofErr w:type="spellStart"/>
      <w:r>
        <w:t>Теплоэнерго</w:t>
      </w:r>
      <w:proofErr w:type="spellEnd"/>
      <w:r>
        <w:t>» от 31.08.2022 №1017-к).</w:t>
      </w:r>
    </w:p>
    <w:p w14:paraId="77B27BBC" w14:textId="77777777"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14:paraId="1541CD1E" w14:textId="77777777"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14:paraId="1866A814" w14:textId="77777777"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</w:t>
      </w:r>
      <w:r w:rsidR="00281C93">
        <w:rPr>
          <w:sz w:val="24"/>
          <w:szCs w:val="24"/>
        </w:rPr>
        <w:t>отдела</w:t>
      </w:r>
      <w:r w:rsidRPr="009427C4">
        <w:rPr>
          <w:sz w:val="24"/>
          <w:szCs w:val="24"/>
        </w:rPr>
        <w:t xml:space="preserve"> по имущественным вопросам </w:t>
      </w:r>
      <w:r w:rsidR="00706412" w:rsidRPr="009427C4">
        <w:rPr>
          <w:sz w:val="24"/>
          <w:szCs w:val="24"/>
        </w:rPr>
        <w:t>КУМИ;</w:t>
      </w:r>
    </w:p>
    <w:p w14:paraId="354AD93D" w14:textId="77777777"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14:paraId="137CC810" w14:textId="77777777"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Черненко И.Е. - </w:t>
      </w:r>
      <w:r w:rsidR="00281C93">
        <w:rPr>
          <w:sz w:val="24"/>
          <w:szCs w:val="24"/>
        </w:rPr>
        <w:t xml:space="preserve"> консультант отдела</w:t>
      </w:r>
      <w:r w:rsidRPr="009427C4">
        <w:rPr>
          <w:sz w:val="24"/>
          <w:szCs w:val="24"/>
        </w:rPr>
        <w:t xml:space="preserve"> по земельным ресурсам КУМИ</w:t>
      </w:r>
      <w:r w:rsidR="002B7D7D">
        <w:rPr>
          <w:sz w:val="24"/>
          <w:szCs w:val="24"/>
        </w:rPr>
        <w:t>;</w:t>
      </w:r>
    </w:p>
    <w:p w14:paraId="3513CB8E" w14:textId="77777777" w:rsidR="00281C93" w:rsidRDefault="00281C93" w:rsidP="00281C9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Pr="00281C93">
        <w:rPr>
          <w:sz w:val="24"/>
          <w:szCs w:val="24"/>
        </w:rPr>
        <w:t xml:space="preserve"> </w:t>
      </w:r>
      <w:r w:rsidRPr="009427C4">
        <w:rPr>
          <w:sz w:val="24"/>
          <w:szCs w:val="24"/>
        </w:rPr>
        <w:t>по земельным ресурсам КУМИ</w:t>
      </w:r>
      <w:r>
        <w:rPr>
          <w:sz w:val="24"/>
          <w:szCs w:val="24"/>
        </w:rPr>
        <w:t>.</w:t>
      </w:r>
    </w:p>
    <w:p w14:paraId="5374D3D6" w14:textId="77777777" w:rsidR="00706412" w:rsidRPr="009427C4" w:rsidRDefault="00706412" w:rsidP="00706412">
      <w:pPr>
        <w:ind w:firstLine="708"/>
        <w:jc w:val="both"/>
      </w:pPr>
      <w:r w:rsidRPr="009427C4">
        <w:lastRenderedPageBreak/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14:paraId="2062E6E0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F9CFF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14:paraId="5A66BDD3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23AA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0CB1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DDA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6917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E0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14:paraId="0DC85306" w14:textId="77777777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D22E" w14:textId="77777777"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807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14:paraId="059D88D9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D808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965B" w14:textId="42A61999" w:rsidR="0089710B" w:rsidRPr="009427C4" w:rsidRDefault="00731031" w:rsidP="002F7F10">
            <w:pPr>
              <w:snapToGrid w:val="0"/>
              <w:jc w:val="both"/>
            </w:pPr>
            <w:r>
              <w:t xml:space="preserve">гр. </w:t>
            </w:r>
            <w:r w:rsidR="002F7F10">
              <w:t>Загребина Нина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E6AB" w14:textId="5E65BDFE" w:rsidR="0089710B" w:rsidRPr="009427C4" w:rsidRDefault="002F7F10" w:rsidP="002F7F10">
            <w:pPr>
              <w:snapToGrid w:val="0"/>
              <w:jc w:val="both"/>
            </w:pPr>
            <w:r>
              <w:t>23.09</w:t>
            </w:r>
            <w:r w:rsidR="00281C93"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FE25" w14:textId="03B3E808" w:rsidR="0089710B" w:rsidRPr="009427C4" w:rsidRDefault="002F7F10" w:rsidP="00FF1DCE">
            <w:pPr>
              <w:snapToGrid w:val="0"/>
              <w:jc w:val="both"/>
            </w:pPr>
            <w:r>
              <w:t>Заявка обеспечена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0AAFB" w14:textId="570803FA" w:rsidR="0089710B" w:rsidRPr="009427C4" w:rsidRDefault="002F7F10" w:rsidP="00587189">
            <w:pPr>
              <w:snapToGrid w:val="0"/>
              <w:jc w:val="both"/>
            </w:pPr>
            <w:r>
              <w:t xml:space="preserve">не </w:t>
            </w:r>
            <w:r w:rsidR="00B420BA" w:rsidRPr="009427C4">
              <w:t>допущен</w:t>
            </w:r>
            <w:r w:rsidR="00082B99">
              <w:t>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443" w14:textId="50C0F42B" w:rsidR="004A4F26" w:rsidRPr="005322F3" w:rsidRDefault="00082B99" w:rsidP="004A4F26">
            <w:pPr>
              <w:snapToGrid w:val="0"/>
              <w:jc w:val="both"/>
            </w:pPr>
            <w:r>
              <w:t>п</w:t>
            </w:r>
            <w:r w:rsidR="004A4F26" w:rsidRPr="005322F3">
              <w:t>п</w:t>
            </w:r>
            <w:r>
              <w:t>.</w:t>
            </w:r>
            <w:r w:rsidR="004A4F26" w:rsidRPr="005322F3">
              <w:t>1 п</w:t>
            </w:r>
            <w:r w:rsidR="004A4F26">
              <w:t>.</w:t>
            </w:r>
            <w:r w:rsidR="004A4F26" w:rsidRPr="005322F3">
              <w:t>8 ст. 39.12 ЗК РФ</w:t>
            </w:r>
          </w:p>
          <w:p w14:paraId="759C3B58" w14:textId="28AAAF6B" w:rsidR="0089710B" w:rsidRPr="009427C4" w:rsidRDefault="004A4F26" w:rsidP="004A4F26">
            <w:pPr>
              <w:snapToGrid w:val="0"/>
              <w:jc w:val="both"/>
            </w:pPr>
            <w:r w:rsidRPr="005322F3">
              <w:rPr>
                <w:lang w:eastAsia="ru-RU"/>
              </w:rPr>
              <w:t>непредставление необходимых для участия в аукционе документов или представление</w:t>
            </w:r>
            <w:r>
              <w:rPr>
                <w:lang w:eastAsia="ru-RU"/>
              </w:rPr>
              <w:t xml:space="preserve"> недостоверных сведений, (заявка подана не по установленной </w:t>
            </w:r>
            <w:r w:rsidR="00755CD0">
              <w:rPr>
                <w:lang w:eastAsia="ru-RU"/>
              </w:rPr>
              <w:t xml:space="preserve">в извещении </w:t>
            </w:r>
            <w:r>
              <w:rPr>
                <w:lang w:eastAsia="ru-RU"/>
              </w:rPr>
              <w:t>форме</w:t>
            </w:r>
            <w:r>
              <w:t>)</w:t>
            </w:r>
          </w:p>
        </w:tc>
      </w:tr>
    </w:tbl>
    <w:p w14:paraId="37186CF2" w14:textId="77777777" w:rsidR="00755CD0" w:rsidRDefault="00755CD0" w:rsidP="00706412">
      <w:pPr>
        <w:ind w:firstLine="708"/>
        <w:jc w:val="both"/>
      </w:pPr>
    </w:p>
    <w:p w14:paraId="07979346" w14:textId="77777777"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14:paraId="00E061D2" w14:textId="6332A32C" w:rsidR="004A4F26" w:rsidRDefault="004A4F26" w:rsidP="004A4F26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Не допустить к участию в аукционе заявителя гр. Загребину Нину Юрьевну в связи с </w:t>
      </w:r>
      <w:r w:rsidRPr="005322F3">
        <w:rPr>
          <w:lang w:eastAsia="ru-RU"/>
        </w:rPr>
        <w:t>непредставление</w:t>
      </w:r>
      <w:r>
        <w:rPr>
          <w:lang w:eastAsia="ru-RU"/>
        </w:rPr>
        <w:t>м</w:t>
      </w:r>
      <w:r w:rsidRPr="005322F3">
        <w:rPr>
          <w:lang w:eastAsia="ru-RU"/>
        </w:rPr>
        <w:t xml:space="preserve"> необходимых для участия в аукционе документов или представление</w:t>
      </w:r>
      <w:r>
        <w:rPr>
          <w:lang w:eastAsia="ru-RU"/>
        </w:rPr>
        <w:t>м недостоверных сведений в соответствии с</w:t>
      </w:r>
      <w:r w:rsidRPr="005322F3">
        <w:t xml:space="preserve"> пп1 п8 ст. 39.12 ЗК РФ</w:t>
      </w:r>
      <w:r>
        <w:t xml:space="preserve"> (не предоставление заявки на участие в аукционе по установленной</w:t>
      </w:r>
      <w:r w:rsidR="00755CD0">
        <w:t xml:space="preserve"> в извещении о проведении аукциона </w:t>
      </w:r>
      <w:r>
        <w:t>форме</w:t>
      </w:r>
      <w:r w:rsidR="00755CD0">
        <w:t xml:space="preserve"> с указанием банковских реквизитов счета для возврата задатка)</w:t>
      </w:r>
      <w:r>
        <w:t>.</w:t>
      </w:r>
    </w:p>
    <w:p w14:paraId="5CF99EDF" w14:textId="64119B0F" w:rsidR="002B0C14" w:rsidRDefault="004A4F26" w:rsidP="002B0C14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</w:t>
      </w:r>
      <w:proofErr w:type="spellStart"/>
      <w:r>
        <w:t>пп</w:t>
      </w:r>
      <w:proofErr w:type="spellEnd"/>
      <w:r>
        <w:t>. 9, 12</w:t>
      </w:r>
      <w:r w:rsidR="002B0C14">
        <w:t xml:space="preserve">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 w:rsidR="002B0C14">
        <w:t xml:space="preserve">ввиду </w:t>
      </w:r>
      <w:r w:rsidR="00731031">
        <w:t>не предоставления</w:t>
      </w:r>
      <w:r w:rsidR="00755CD0">
        <w:t xml:space="preserve"> заявки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2B7D7D">
        <w:t>.</w:t>
      </w:r>
    </w:p>
    <w:p w14:paraId="15640318" w14:textId="3F03BA94" w:rsidR="00082B99" w:rsidRPr="008C5D2F" w:rsidRDefault="00082B99" w:rsidP="002B0C14">
      <w:pPr>
        <w:autoSpaceDE w:val="0"/>
        <w:autoSpaceDN w:val="0"/>
        <w:adjustRightInd w:val="0"/>
        <w:ind w:firstLine="540"/>
        <w:jc w:val="both"/>
      </w:pPr>
      <w:r>
        <w:t xml:space="preserve">Организатору торгов повторно организовать аукцион по продаже права на заключение договора аренды земельного участка по вышеуказанному адресу.  </w:t>
      </w:r>
    </w:p>
    <w:p w14:paraId="2B9EC6C8" w14:textId="77777777" w:rsidR="004A4F26" w:rsidRDefault="004A4F26" w:rsidP="002B0C14">
      <w:pPr>
        <w:ind w:left="-142" w:firstLine="426"/>
        <w:jc w:val="both"/>
        <w:rPr>
          <w:b/>
        </w:rPr>
      </w:pPr>
    </w:p>
    <w:p w14:paraId="6CAB9623" w14:textId="77777777" w:rsidR="002A3F39" w:rsidRDefault="002A3F39" w:rsidP="00706412">
      <w:pPr>
        <w:ind w:firstLine="708"/>
        <w:jc w:val="both"/>
      </w:pPr>
    </w:p>
    <w:p w14:paraId="0DABA82A" w14:textId="77777777"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14:paraId="0D5F1905" w14:textId="77777777" w:rsidR="007567B7" w:rsidRPr="009427C4" w:rsidRDefault="007567B7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14:paraId="4F069671" w14:textId="77777777" w:rsidTr="005E2732">
        <w:trPr>
          <w:trHeight w:val="964"/>
        </w:trPr>
        <w:tc>
          <w:tcPr>
            <w:tcW w:w="5068" w:type="dxa"/>
          </w:tcPr>
          <w:p w14:paraId="144F8C6B" w14:textId="77777777"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14:paraId="4ACA8FCE" w14:textId="77777777"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14:paraId="57FBAEBF" w14:textId="77777777"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14:paraId="6D6BB837" w14:textId="77777777" w:rsidR="00281C93" w:rsidRDefault="00281C93" w:rsidP="00C95A1D">
            <w:pPr>
              <w:spacing w:line="360" w:lineRule="auto"/>
              <w:jc w:val="both"/>
            </w:pPr>
            <w:r>
              <w:t>____________________ И.А. Щукина</w:t>
            </w:r>
          </w:p>
          <w:p w14:paraId="58870639" w14:textId="77777777" w:rsidR="00706412" w:rsidRPr="009427C4" w:rsidRDefault="00706412" w:rsidP="00FF1DCE">
            <w:pPr>
              <w:spacing w:line="360" w:lineRule="auto"/>
              <w:jc w:val="both"/>
            </w:pPr>
          </w:p>
        </w:tc>
      </w:tr>
    </w:tbl>
    <w:p w14:paraId="4AC64FCE" w14:textId="77777777"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82B99"/>
    <w:rsid w:val="00090179"/>
    <w:rsid w:val="000B4B04"/>
    <w:rsid w:val="000C730A"/>
    <w:rsid w:val="001012CA"/>
    <w:rsid w:val="001222F5"/>
    <w:rsid w:val="0012458C"/>
    <w:rsid w:val="00154814"/>
    <w:rsid w:val="0017643E"/>
    <w:rsid w:val="001858C4"/>
    <w:rsid w:val="001A10D7"/>
    <w:rsid w:val="001B35FE"/>
    <w:rsid w:val="001B5BFA"/>
    <w:rsid w:val="001D3CA3"/>
    <w:rsid w:val="001F3E32"/>
    <w:rsid w:val="00203CE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81C93"/>
    <w:rsid w:val="002A3798"/>
    <w:rsid w:val="002A3F39"/>
    <w:rsid w:val="002B0C14"/>
    <w:rsid w:val="002B7D7D"/>
    <w:rsid w:val="002D02CC"/>
    <w:rsid w:val="002F538E"/>
    <w:rsid w:val="002F7F10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4F26"/>
    <w:rsid w:val="004C316B"/>
    <w:rsid w:val="004C5140"/>
    <w:rsid w:val="004F3513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31031"/>
    <w:rsid w:val="0074636E"/>
    <w:rsid w:val="00752039"/>
    <w:rsid w:val="00755CD0"/>
    <w:rsid w:val="007567B7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2F54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CF33F1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1DC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DA5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character" w:styleId="af">
    <w:name w:val="annotation reference"/>
    <w:basedOn w:val="a1"/>
    <w:semiHidden/>
    <w:unhideWhenUsed/>
    <w:rsid w:val="00281C93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281C9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281C93"/>
    <w:rPr>
      <w:lang w:eastAsia="ar-SA"/>
    </w:rPr>
  </w:style>
  <w:style w:type="paragraph" w:styleId="af2">
    <w:name w:val="annotation subject"/>
    <w:basedOn w:val="af0"/>
    <w:next w:val="af0"/>
    <w:link w:val="af3"/>
    <w:semiHidden/>
    <w:unhideWhenUsed/>
    <w:rsid w:val="00281C9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81C93"/>
    <w:rPr>
      <w:b/>
      <w:bCs/>
      <w:lang w:eastAsia="ar-SA"/>
    </w:rPr>
  </w:style>
  <w:style w:type="character" w:customStyle="1" w:styleId="3TimesNewRoman115pt">
    <w:name w:val="Основной текст (3) + Times New Roman;11;5 pt"/>
    <w:basedOn w:val="a1"/>
    <w:rsid w:val="00AE2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_"/>
    <w:link w:val="23"/>
    <w:locked/>
    <w:rsid w:val="00AE2F5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4"/>
    <w:rsid w:val="00AE2F54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AE2F5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E2F54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AE2F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AE2F54"/>
    <w:rPr>
      <w:b/>
      <w:bCs/>
      <w:sz w:val="23"/>
      <w:szCs w:val="23"/>
      <w:shd w:val="clear" w:color="auto" w:fill="FFFFFF"/>
    </w:rPr>
  </w:style>
  <w:style w:type="paragraph" w:customStyle="1" w:styleId="Iauiue">
    <w:name w:val="Iau?iue"/>
    <w:rsid w:val="00AE2F54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6"/>
    <w:rsid w:val="00AE2F54"/>
    <w:pPr>
      <w:numPr>
        <w:numId w:val="1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6">
    <w:name w:val="буллиты Знак"/>
    <w:link w:val="a"/>
    <w:rsid w:val="00AE2F54"/>
    <w:rPr>
      <w:bCs/>
      <w:color w:val="000000"/>
      <w:sz w:val="24"/>
      <w:szCs w:val="24"/>
      <w:lang w:val="x-none" w:eastAsia="x-none"/>
    </w:rPr>
  </w:style>
  <w:style w:type="character" w:customStyle="1" w:styleId="811">
    <w:name w:val="Основной текст + 811"/>
    <w:aliases w:val="5 pt27"/>
    <w:uiPriority w:val="99"/>
    <w:rsid w:val="00AE2F54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84-0809-4343-A721-EBE15E5B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2022-10-25T08:44:00Z</cp:lastPrinted>
  <dcterms:created xsi:type="dcterms:W3CDTF">2004-09-01T05:47:00Z</dcterms:created>
  <dcterms:modified xsi:type="dcterms:W3CDTF">2022-10-25T08:44:00Z</dcterms:modified>
</cp:coreProperties>
</file>